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October 6, 2016</w:t>
      </w: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 xml:space="preserve">Dear </w:t>
      </w:r>
      <w:r w:rsidR="005F08EA">
        <w:rPr>
          <w:rFonts w:ascii="Calibri" w:hAnsi="Calibri" w:cs="AGaramondPro-Italic"/>
          <w:sz w:val="21"/>
          <w:szCs w:val="21"/>
        </w:rPr>
        <w:t>Organized Systems of Anticoagulation Care Summit</w:t>
      </w:r>
      <w:r w:rsidRPr="007F600B">
        <w:rPr>
          <w:rFonts w:ascii="Calibri" w:hAnsi="Calibri" w:cs="AGaramondPro-Italic"/>
          <w:sz w:val="21"/>
          <w:szCs w:val="21"/>
        </w:rPr>
        <w:t xml:space="preserve"> Participants,</w:t>
      </w: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 xml:space="preserve">Thank you for accepting the invitation to participate in this year’s </w:t>
      </w:r>
      <w:r w:rsidR="005F08EA">
        <w:rPr>
          <w:rFonts w:ascii="Calibri" w:hAnsi="Calibri" w:cs="AGaramondPro-Italic"/>
          <w:sz w:val="21"/>
          <w:szCs w:val="21"/>
        </w:rPr>
        <w:t>Organized Systems of Anticoagulation Care Summit</w:t>
      </w:r>
      <w:r w:rsidRPr="007F600B">
        <w:rPr>
          <w:rFonts w:ascii="Calibri" w:hAnsi="Calibri" w:cs="AGaramondPro-Italic"/>
          <w:sz w:val="21"/>
          <w:szCs w:val="21"/>
        </w:rPr>
        <w:t xml:space="preserve">. As an esteemed participant, you are joining representatives from several medical specialty societies, </w:t>
      </w:r>
      <w:r w:rsidR="005F08EA">
        <w:rPr>
          <w:rFonts w:ascii="Calibri" w:hAnsi="Calibri" w:cs="AGaramondPro-Italic"/>
          <w:sz w:val="21"/>
          <w:szCs w:val="21"/>
        </w:rPr>
        <w:t xml:space="preserve">health care systems, payers, </w:t>
      </w:r>
      <w:r w:rsidRPr="007F600B">
        <w:rPr>
          <w:rFonts w:ascii="Calibri" w:hAnsi="Calibri" w:cs="AGaramondPro-Italic"/>
          <w:sz w:val="21"/>
          <w:szCs w:val="21"/>
        </w:rPr>
        <w:t xml:space="preserve">industry, and other stakeholder groups to discuss the challenges of </w:t>
      </w:r>
      <w:r w:rsidR="005F08EA">
        <w:rPr>
          <w:rFonts w:ascii="Calibri" w:hAnsi="Calibri" w:cs="AGaramondPro-Italic"/>
          <w:sz w:val="21"/>
          <w:szCs w:val="21"/>
        </w:rPr>
        <w:t xml:space="preserve">organized </w:t>
      </w:r>
      <w:r w:rsidRPr="007F600B">
        <w:rPr>
          <w:rFonts w:ascii="Calibri" w:hAnsi="Calibri" w:cs="AGaramondPro-Italic"/>
          <w:sz w:val="21"/>
          <w:szCs w:val="21"/>
        </w:rPr>
        <w:t>anticoagulation care.  Your engagement in this initiative will help the Amer</w:t>
      </w:r>
      <w:r w:rsidR="00DC0FFE">
        <w:rPr>
          <w:rFonts w:ascii="Calibri" w:hAnsi="Calibri" w:cs="AGaramondPro-Italic"/>
          <w:sz w:val="21"/>
          <w:szCs w:val="21"/>
        </w:rPr>
        <w:t>ican College of Cardiology</w:t>
      </w:r>
      <w:r w:rsidRPr="007F600B">
        <w:rPr>
          <w:rFonts w:ascii="Calibri" w:hAnsi="Calibri" w:cs="AGaramondPro-Italic"/>
          <w:sz w:val="21"/>
          <w:szCs w:val="21"/>
        </w:rPr>
        <w:t xml:space="preserve"> as we make strides toward improving patient outcomes.</w:t>
      </w: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 xml:space="preserve">The goal of the </w:t>
      </w:r>
      <w:r w:rsidR="005F08EA" w:rsidRPr="005F08EA">
        <w:rPr>
          <w:rFonts w:asciiTheme="majorHAnsi" w:hAnsiTheme="majorHAnsi" w:cs="AGaramondPro-Italic"/>
          <w:sz w:val="21"/>
          <w:szCs w:val="21"/>
        </w:rPr>
        <w:t>Summit</w:t>
      </w:r>
      <w:r w:rsidRPr="005F08EA">
        <w:rPr>
          <w:rFonts w:asciiTheme="majorHAnsi" w:hAnsiTheme="majorHAnsi" w:cs="AGaramondPro-Italic"/>
          <w:sz w:val="21"/>
          <w:szCs w:val="21"/>
        </w:rPr>
        <w:t xml:space="preserve"> is to draw on the collective experience and wisdom of our participants to</w:t>
      </w:r>
      <w:r w:rsidR="005F08EA" w:rsidRPr="005F08EA">
        <w:rPr>
          <w:rFonts w:asciiTheme="majorHAnsi" w:hAnsiTheme="majorHAnsi"/>
          <w:sz w:val="21"/>
          <w:szCs w:val="21"/>
        </w:rPr>
        <w:t xml:space="preserve"> understand potential methods for accelerating change toward more optimal anticoagulation management</w:t>
      </w:r>
      <w:r w:rsidRPr="005F08EA">
        <w:rPr>
          <w:rFonts w:asciiTheme="majorHAnsi" w:hAnsiTheme="majorHAnsi" w:cs="AGaramondPro-Italic"/>
          <w:sz w:val="21"/>
          <w:szCs w:val="21"/>
        </w:rPr>
        <w:t>. The</w:t>
      </w:r>
      <w:r w:rsidRPr="005F08EA">
        <w:rPr>
          <w:rFonts w:ascii="Calibri" w:hAnsi="Calibri" w:cs="AGaramondPro-Italic"/>
          <w:sz w:val="22"/>
          <w:szCs w:val="21"/>
        </w:rPr>
        <w:t xml:space="preserve"> </w:t>
      </w:r>
      <w:r w:rsidRPr="007F600B">
        <w:rPr>
          <w:rFonts w:ascii="Calibri" w:hAnsi="Calibri" w:cs="AGaramondPro-Italic"/>
          <w:sz w:val="21"/>
          <w:szCs w:val="21"/>
        </w:rPr>
        <w:t>aim of this meeting is not to reach c</w:t>
      </w:r>
      <w:r w:rsidR="005F08EA">
        <w:rPr>
          <w:rFonts w:ascii="Calibri" w:hAnsi="Calibri" w:cs="AGaramondPro-Italic"/>
          <w:sz w:val="21"/>
          <w:szCs w:val="21"/>
        </w:rPr>
        <w:t>onsensus; we aim to uncover important insights from each participant regarding patient perceptions and financial challenges, care team coordination, patient activation, and health system design</w:t>
      </w:r>
      <w:r w:rsidRPr="007F600B">
        <w:rPr>
          <w:rFonts w:ascii="Calibri" w:hAnsi="Calibri" w:cs="AGaramondPro-Italic"/>
          <w:sz w:val="21"/>
          <w:szCs w:val="21"/>
        </w:rPr>
        <w:t>.  Your valuable input will help to steer our work to support the broader community caring for patients on anticoagulants, and improve patient outcomes.</w:t>
      </w:r>
    </w:p>
    <w:p w:rsidR="007F600B" w:rsidRPr="007F600B" w:rsidRDefault="007F600B" w:rsidP="007F600B">
      <w:pPr>
        <w:rPr>
          <w:rFonts w:ascii="Calibri" w:hAnsi="Calibri" w:cs="AGaramondPro-Italic"/>
          <w:sz w:val="21"/>
          <w:szCs w:val="21"/>
        </w:rPr>
      </w:pPr>
    </w:p>
    <w:p w:rsidR="007F600B" w:rsidRDefault="007F600B" w:rsidP="007F600B">
      <w:pPr>
        <w:rPr>
          <w:rFonts w:asciiTheme="majorHAnsi" w:hAnsiTheme="majorHAnsi"/>
          <w:sz w:val="21"/>
          <w:szCs w:val="21"/>
        </w:rPr>
      </w:pPr>
      <w:r w:rsidRPr="007F600B">
        <w:rPr>
          <w:rFonts w:ascii="Calibri" w:hAnsi="Calibri" w:cs="AGaramondPro-Italic"/>
          <w:sz w:val="21"/>
          <w:szCs w:val="21"/>
        </w:rPr>
        <w:t xml:space="preserve">This meeting is designed to encourage interactive and thoughtful discussion. </w:t>
      </w:r>
      <w:r w:rsidR="00EC6491" w:rsidRPr="00EC6491">
        <w:rPr>
          <w:rFonts w:asciiTheme="majorHAnsi" w:hAnsiTheme="majorHAnsi"/>
          <w:sz w:val="21"/>
          <w:szCs w:val="21"/>
        </w:rPr>
        <w:t>As you will see in the enclosed agenda, the day will be organized by four sessions with brief thought provoking presentations to introduce key topics.  Each session will direct participants to work together in small groups to discuss several questions that are provided for you in this book.  Following an hour of facilitated discussion, the tables will share their combined thoughts with the full group.</w:t>
      </w:r>
    </w:p>
    <w:p w:rsidR="005F08EA" w:rsidRPr="007F600B" w:rsidRDefault="005F08EA"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 xml:space="preserve">In preparation for the meeting, we have assembled briefing materials for you.  We hope that you will familiarize yourself with these materials before the meeting, in preparation for a productive discussion.  We have included relevant sections from the current guidelines, several articles of interest, and documents related to specific presentations. </w:t>
      </w:r>
      <w:r w:rsidR="00EC6491" w:rsidRPr="00EC6491">
        <w:rPr>
          <w:rFonts w:asciiTheme="majorHAnsi" w:hAnsiTheme="majorHAnsi"/>
          <w:sz w:val="21"/>
          <w:szCs w:val="21"/>
        </w:rPr>
        <w:t xml:space="preserve">We encourage all participants to consider the discussion questions in advance of the meeting, and to discuss with your colleagues to collect additional perspectives and thoughts to bring with you to the </w:t>
      </w:r>
      <w:r w:rsidR="005F08EA">
        <w:rPr>
          <w:rFonts w:asciiTheme="majorHAnsi" w:hAnsiTheme="majorHAnsi"/>
          <w:sz w:val="21"/>
          <w:szCs w:val="21"/>
        </w:rPr>
        <w:t>Summit</w:t>
      </w:r>
      <w:r w:rsidR="00EC6491" w:rsidRPr="00EC6491">
        <w:rPr>
          <w:rFonts w:asciiTheme="majorHAnsi" w:hAnsiTheme="majorHAnsi"/>
          <w:sz w:val="21"/>
          <w:szCs w:val="21"/>
        </w:rPr>
        <w:t>.</w:t>
      </w:r>
      <w:r w:rsidR="00EC6491">
        <w:rPr>
          <w:rFonts w:asciiTheme="majorHAnsi" w:hAnsiTheme="majorHAnsi"/>
        </w:rPr>
        <w:t xml:space="preserve">  </w:t>
      </w: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 xml:space="preserve">We look forward to </w:t>
      </w:r>
      <w:r w:rsidR="005F08EA">
        <w:rPr>
          <w:rFonts w:ascii="Calibri" w:hAnsi="Calibri" w:cs="AGaramondPro-Italic"/>
          <w:sz w:val="21"/>
          <w:szCs w:val="21"/>
        </w:rPr>
        <w:t>a</w:t>
      </w:r>
      <w:r w:rsidRPr="007F600B">
        <w:rPr>
          <w:rFonts w:ascii="Calibri" w:hAnsi="Calibri" w:cs="AGaramondPro-Italic"/>
          <w:sz w:val="21"/>
          <w:szCs w:val="21"/>
        </w:rPr>
        <w:t xml:space="preserve"> successful meeting with interactive and thought-provoking discussion!  </w:t>
      </w:r>
    </w:p>
    <w:p w:rsidR="007F600B" w:rsidRPr="007F600B" w:rsidRDefault="007F600B" w:rsidP="007F600B">
      <w:pPr>
        <w:rPr>
          <w:rFonts w:ascii="Calibri" w:hAnsi="Calibri" w:cs="AGaramondPro-Italic"/>
          <w:sz w:val="21"/>
          <w:szCs w:val="21"/>
        </w:rPr>
      </w:pPr>
    </w:p>
    <w:p w:rsidR="007F600B" w:rsidRPr="007F600B" w:rsidRDefault="007F600B" w:rsidP="007F600B">
      <w:pPr>
        <w:rPr>
          <w:rFonts w:ascii="Calibri" w:hAnsi="Calibri" w:cs="AGaramondPro-Italic"/>
          <w:sz w:val="21"/>
          <w:szCs w:val="21"/>
        </w:rPr>
      </w:pPr>
      <w:r w:rsidRPr="007F600B">
        <w:rPr>
          <w:rFonts w:ascii="Calibri" w:hAnsi="Calibri" w:cs="AGaramondPro-Italic"/>
          <w:sz w:val="21"/>
          <w:szCs w:val="21"/>
        </w:rPr>
        <w:t>Sincerely,</w:t>
      </w:r>
    </w:p>
    <w:p w:rsidR="007F600B" w:rsidRPr="007F600B" w:rsidRDefault="007F600B" w:rsidP="007F600B">
      <w:pPr>
        <w:rPr>
          <w:rFonts w:ascii="Calibri" w:hAnsi="Calibri" w:cs="AGaramondPro-Italic"/>
          <w:sz w:val="22"/>
          <w:szCs w:val="22"/>
        </w:rPr>
      </w:pPr>
    </w:p>
    <w:tbl>
      <w:tblPr>
        <w:tblW w:w="0" w:type="auto"/>
        <w:jc w:val="right"/>
        <w:tblInd w:w="-448" w:type="dxa"/>
        <w:tblCellMar>
          <w:left w:w="0" w:type="dxa"/>
          <w:right w:w="0" w:type="dxa"/>
        </w:tblCellMar>
        <w:tblLook w:val="04A0" w:firstRow="1" w:lastRow="0" w:firstColumn="1" w:lastColumn="0" w:noHBand="0" w:noVBand="1"/>
      </w:tblPr>
      <w:tblGrid>
        <w:gridCol w:w="3828"/>
        <w:gridCol w:w="3346"/>
      </w:tblGrid>
      <w:tr w:rsidR="007F600B" w:rsidRPr="007F600B" w:rsidTr="00255C71">
        <w:trPr>
          <w:trHeight w:val="1087"/>
          <w:jc w:val="right"/>
        </w:trPr>
        <w:tc>
          <w:tcPr>
            <w:tcW w:w="3828" w:type="dxa"/>
            <w:tcMar>
              <w:top w:w="0" w:type="dxa"/>
              <w:left w:w="108" w:type="dxa"/>
              <w:bottom w:w="0" w:type="dxa"/>
              <w:right w:w="108" w:type="dxa"/>
            </w:tcMar>
            <w:hideMark/>
          </w:tcPr>
          <w:p w:rsidR="007F600B" w:rsidRPr="007F600B" w:rsidRDefault="007F600B" w:rsidP="007F600B">
            <w:pPr>
              <w:rPr>
                <w:rFonts w:ascii="Calibri" w:eastAsiaTheme="minorHAnsi" w:hAnsi="Calibri" w:cs="AGaramondPro-Italic"/>
                <w:sz w:val="22"/>
                <w:szCs w:val="22"/>
              </w:rPr>
            </w:pPr>
            <w:r w:rsidRPr="007F600B">
              <w:rPr>
                <w:rFonts w:ascii="Calibri" w:hAnsi="Calibri" w:cs="AGaramondPro-Italic"/>
                <w:noProof/>
                <w:sz w:val="22"/>
                <w:szCs w:val="22"/>
              </w:rPr>
              <w:drawing>
                <wp:inline distT="0" distB="0" distL="0" distR="0" wp14:anchorId="5B05C19E" wp14:editId="06E1BFBD">
                  <wp:extent cx="849630" cy="622935"/>
                  <wp:effectExtent l="0" t="0" r="7620" b="5715"/>
                  <wp:docPr id="2" name="Picture 2" descr="cid:image008.jpg@01D0EB23.DB70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D0EB23.DB700A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9630" cy="622935"/>
                          </a:xfrm>
                          <a:prstGeom prst="rect">
                            <a:avLst/>
                          </a:prstGeom>
                          <a:noFill/>
                          <a:ln>
                            <a:noFill/>
                          </a:ln>
                        </pic:spPr>
                      </pic:pic>
                    </a:graphicData>
                  </a:graphic>
                </wp:inline>
              </w:drawing>
            </w:r>
          </w:p>
        </w:tc>
        <w:tc>
          <w:tcPr>
            <w:tcW w:w="3346" w:type="dxa"/>
            <w:tcMar>
              <w:top w:w="0" w:type="dxa"/>
              <w:left w:w="108" w:type="dxa"/>
              <w:bottom w:w="0" w:type="dxa"/>
              <w:right w:w="108" w:type="dxa"/>
            </w:tcMar>
          </w:tcPr>
          <w:p w:rsidR="007F600B" w:rsidRPr="007F600B" w:rsidRDefault="007F600B" w:rsidP="007F600B">
            <w:pPr>
              <w:rPr>
                <w:rFonts w:ascii="Calibri" w:eastAsiaTheme="minorHAnsi" w:hAnsi="Calibri" w:cs="AGaramondPro-Italic"/>
                <w:sz w:val="12"/>
                <w:szCs w:val="12"/>
              </w:rPr>
            </w:pPr>
          </w:p>
          <w:p w:rsidR="007F600B" w:rsidRPr="007F600B" w:rsidRDefault="007F600B" w:rsidP="007F600B">
            <w:pPr>
              <w:rPr>
                <w:rFonts w:ascii="Calibri" w:eastAsiaTheme="minorHAnsi" w:hAnsi="Calibri" w:cs="AGaramondPro-Italic"/>
                <w:sz w:val="22"/>
                <w:szCs w:val="22"/>
              </w:rPr>
            </w:pPr>
            <w:r w:rsidRPr="007F600B">
              <w:rPr>
                <w:rFonts w:ascii="Calibri" w:hAnsi="Calibri" w:cs="AGaramondPro-Italic"/>
                <w:noProof/>
                <w:sz w:val="22"/>
                <w:szCs w:val="22"/>
              </w:rPr>
              <w:drawing>
                <wp:inline distT="0" distB="0" distL="0" distR="0" wp14:anchorId="1D857A5F" wp14:editId="24B457A5">
                  <wp:extent cx="1472565" cy="485775"/>
                  <wp:effectExtent l="0" t="0" r="0" b="9525"/>
                  <wp:docPr id="3" name="Picture 3" descr="cid:image001.png@01D0CDE1.DC5D6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DE1.DC5D6B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2565" cy="485775"/>
                          </a:xfrm>
                          <a:prstGeom prst="rect">
                            <a:avLst/>
                          </a:prstGeom>
                          <a:noFill/>
                          <a:ln>
                            <a:noFill/>
                          </a:ln>
                        </pic:spPr>
                      </pic:pic>
                    </a:graphicData>
                  </a:graphic>
                </wp:inline>
              </w:drawing>
            </w:r>
          </w:p>
        </w:tc>
      </w:tr>
      <w:tr w:rsidR="007F600B" w:rsidRPr="007F600B" w:rsidTr="00255C71">
        <w:trPr>
          <w:trHeight w:val="841"/>
          <w:jc w:val="right"/>
        </w:trPr>
        <w:tc>
          <w:tcPr>
            <w:tcW w:w="3828" w:type="dxa"/>
            <w:tcMar>
              <w:top w:w="0" w:type="dxa"/>
              <w:left w:w="108" w:type="dxa"/>
              <w:bottom w:w="0" w:type="dxa"/>
              <w:right w:w="108" w:type="dxa"/>
            </w:tcMar>
            <w:hideMark/>
          </w:tcPr>
          <w:p w:rsidR="007F600B" w:rsidRPr="007F600B" w:rsidRDefault="007F600B" w:rsidP="007F600B">
            <w:pPr>
              <w:rPr>
                <w:rFonts w:ascii="Calibri" w:eastAsiaTheme="minorHAnsi" w:hAnsi="Calibri" w:cs="AGaramondPro-Italic"/>
                <w:sz w:val="21"/>
                <w:szCs w:val="21"/>
              </w:rPr>
            </w:pPr>
            <w:r w:rsidRPr="007F600B">
              <w:rPr>
                <w:rFonts w:ascii="Calibri" w:hAnsi="Calibri" w:cs="AGaramondPro-Italic"/>
                <w:sz w:val="21"/>
                <w:szCs w:val="21"/>
              </w:rPr>
              <w:t>John U. Doherty, MD, FACC</w:t>
            </w:r>
          </w:p>
          <w:p w:rsidR="007F600B" w:rsidRPr="007F600B" w:rsidRDefault="007F600B" w:rsidP="007F600B">
            <w:pPr>
              <w:rPr>
                <w:rFonts w:ascii="Calibri" w:hAnsi="Calibri" w:cs="AGaramondPro-Italic"/>
                <w:color w:val="1F497D"/>
                <w:sz w:val="21"/>
                <w:szCs w:val="21"/>
              </w:rPr>
            </w:pPr>
            <w:r w:rsidRPr="007F600B">
              <w:rPr>
                <w:rFonts w:ascii="Calibri" w:hAnsi="Calibri" w:cs="AGaramondPro-Italic"/>
                <w:sz w:val="21"/>
                <w:szCs w:val="21"/>
              </w:rPr>
              <w:t>Co-Chair</w:t>
            </w:r>
          </w:p>
          <w:p w:rsidR="007F600B" w:rsidRPr="007F600B" w:rsidRDefault="007F600B" w:rsidP="007F600B">
            <w:pPr>
              <w:rPr>
                <w:rFonts w:ascii="Calibri" w:eastAsiaTheme="minorHAnsi" w:hAnsi="Calibri" w:cs="AGaramondPro-Italic"/>
                <w:sz w:val="21"/>
                <w:szCs w:val="21"/>
              </w:rPr>
            </w:pPr>
            <w:r w:rsidRPr="007F600B">
              <w:rPr>
                <w:rFonts w:ascii="Calibri" w:hAnsi="Calibri" w:cs="AGaramondPro-Italic"/>
                <w:sz w:val="21"/>
                <w:szCs w:val="21"/>
              </w:rPr>
              <w:t>Anticoagulation Initiative</w:t>
            </w:r>
          </w:p>
        </w:tc>
        <w:tc>
          <w:tcPr>
            <w:tcW w:w="3346" w:type="dxa"/>
            <w:tcMar>
              <w:top w:w="0" w:type="dxa"/>
              <w:left w:w="108" w:type="dxa"/>
              <w:bottom w:w="0" w:type="dxa"/>
              <w:right w:w="108" w:type="dxa"/>
            </w:tcMar>
            <w:hideMark/>
          </w:tcPr>
          <w:p w:rsidR="007F600B" w:rsidRPr="007F600B" w:rsidRDefault="007F600B" w:rsidP="007F600B">
            <w:pPr>
              <w:rPr>
                <w:rFonts w:ascii="Calibri" w:eastAsiaTheme="minorHAnsi" w:hAnsi="Calibri" w:cs="AGaramondPro-Italic"/>
                <w:sz w:val="21"/>
                <w:szCs w:val="21"/>
              </w:rPr>
            </w:pPr>
            <w:r w:rsidRPr="007F600B">
              <w:rPr>
                <w:rFonts w:ascii="Calibri" w:hAnsi="Calibri" w:cs="AGaramondPro-Italic"/>
                <w:sz w:val="21"/>
                <w:szCs w:val="21"/>
              </w:rPr>
              <w:t>Greg C. Flaker, MD, FACC</w:t>
            </w:r>
          </w:p>
          <w:p w:rsidR="007F600B" w:rsidRPr="007F600B" w:rsidRDefault="007F600B" w:rsidP="007F600B">
            <w:pPr>
              <w:rPr>
                <w:rFonts w:ascii="Calibri" w:hAnsi="Calibri" w:cs="AGaramondPro-Italic"/>
                <w:color w:val="1F497D"/>
                <w:sz w:val="21"/>
                <w:szCs w:val="21"/>
              </w:rPr>
            </w:pPr>
            <w:r w:rsidRPr="007F600B">
              <w:rPr>
                <w:rFonts w:ascii="Calibri" w:hAnsi="Calibri" w:cs="AGaramondPro-Italic"/>
                <w:sz w:val="21"/>
                <w:szCs w:val="21"/>
              </w:rPr>
              <w:t>Co-Chair</w:t>
            </w:r>
          </w:p>
          <w:p w:rsidR="007F600B" w:rsidRPr="007F600B" w:rsidRDefault="007F600B" w:rsidP="007F600B">
            <w:pPr>
              <w:rPr>
                <w:rFonts w:ascii="Calibri" w:eastAsiaTheme="minorHAnsi" w:hAnsi="Calibri" w:cs="AGaramondPro-Italic"/>
                <w:sz w:val="21"/>
                <w:szCs w:val="21"/>
              </w:rPr>
            </w:pPr>
            <w:r w:rsidRPr="007F600B">
              <w:rPr>
                <w:rFonts w:ascii="Calibri" w:hAnsi="Calibri" w:cs="AGaramondPro-Italic"/>
                <w:sz w:val="21"/>
                <w:szCs w:val="21"/>
              </w:rPr>
              <w:t>Anticoagulation Initiative</w:t>
            </w:r>
          </w:p>
        </w:tc>
      </w:tr>
    </w:tbl>
    <w:p w:rsidR="0023173B" w:rsidRDefault="0023173B" w:rsidP="000F236C">
      <w:pPr>
        <w:rPr>
          <w:rFonts w:ascii="Times" w:hAnsi="Times"/>
          <w:sz w:val="22"/>
          <w:szCs w:val="22"/>
        </w:rPr>
        <w:sectPr w:rsidR="0023173B" w:rsidSect="007F600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710" w:right="1080" w:bottom="1267" w:left="3240" w:header="720" w:footer="720" w:gutter="0"/>
          <w:cols w:space="720"/>
          <w:formProt w:val="0"/>
          <w:titlePg/>
          <w:docGrid w:linePitch="360"/>
        </w:sectPr>
      </w:pPr>
    </w:p>
    <w:p w:rsidR="0023173B" w:rsidRDefault="0023173B">
      <w:pPr>
        <w:rPr>
          <w:rFonts w:ascii="Times" w:hAnsi="Times"/>
          <w:sz w:val="22"/>
          <w:szCs w:val="22"/>
        </w:rPr>
      </w:pPr>
      <w:bookmarkStart w:id="0" w:name="_GoBack"/>
      <w:bookmarkEnd w:id="0"/>
    </w:p>
    <w:sectPr w:rsidR="0023173B" w:rsidSect="00F44643">
      <w:type w:val="continuous"/>
      <w:pgSz w:w="12240" w:h="15840" w:code="1"/>
      <w:pgMar w:top="1440" w:right="1440" w:bottom="1267"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D1D" w:rsidRDefault="00D97D1D" w:rsidP="00D84A7E">
      <w:r>
        <w:separator/>
      </w:r>
    </w:p>
  </w:endnote>
  <w:endnote w:type="continuationSeparator" w:id="0">
    <w:p w:rsidR="00D97D1D" w:rsidRDefault="00D97D1D" w:rsidP="00D8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GaramondPro-Italic">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69" w:rsidRDefault="00A47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69" w:rsidRDefault="00A47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69" w:rsidRDefault="00A47A69">
    <w:pPr>
      <w:pStyle w:val="Footer"/>
    </w:pPr>
  </w:p>
  <w:p w:rsidR="007F600B" w:rsidRDefault="007F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D1D" w:rsidRDefault="00D97D1D" w:rsidP="00D84A7E">
      <w:r>
        <w:separator/>
      </w:r>
    </w:p>
  </w:footnote>
  <w:footnote w:type="continuationSeparator" w:id="0">
    <w:p w:rsidR="00D97D1D" w:rsidRDefault="00D97D1D" w:rsidP="00D84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69" w:rsidRDefault="00A47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6C" w:rsidRPr="000F236C" w:rsidRDefault="000F236C" w:rsidP="000F236C">
    <w:pPr>
      <w:pStyle w:val="Header"/>
    </w:pPr>
    <w:r>
      <w:rPr>
        <w:noProof/>
      </w:rPr>
      <w:drawing>
        <wp:anchor distT="0" distB="0" distL="114300" distR="114300" simplePos="0" relativeHeight="251660288" behindDoc="1" locked="0" layoutInCell="1" allowOverlap="1" wp14:anchorId="6654AFEB" wp14:editId="59EDB824">
          <wp:simplePos x="0" y="0"/>
          <wp:positionH relativeFrom="page">
            <wp:posOffset>-581025</wp:posOffset>
          </wp:positionH>
          <wp:positionV relativeFrom="page">
            <wp:align>top</wp:align>
          </wp:positionV>
          <wp:extent cx="7772400" cy="10058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604_ACC_2016_LETTERHEAD_SECOND_SHEE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0B" w:rsidRDefault="007F600B" w:rsidP="00D84A7E">
    <w:pPr>
      <w:pStyle w:val="Header"/>
      <w:rPr>
        <w:noProof/>
      </w:rPr>
    </w:pPr>
  </w:p>
  <w:p w:rsidR="000F236C" w:rsidRPr="00D84A7E" w:rsidRDefault="00A47A69" w:rsidP="00D84A7E">
    <w:pPr>
      <w:pStyle w:val="Header"/>
    </w:pPr>
    <w:r>
      <w:rPr>
        <w:noProof/>
      </w:rPr>
      <w:drawing>
        <wp:anchor distT="0" distB="0" distL="114300" distR="114300" simplePos="0" relativeHeight="251664384" behindDoc="1" locked="0" layoutInCell="1" allowOverlap="1" wp14:anchorId="6CFA5C66" wp14:editId="5BB7B3C2">
          <wp:simplePos x="0" y="0"/>
          <wp:positionH relativeFrom="page">
            <wp:posOffset>-9525</wp:posOffset>
          </wp:positionH>
          <wp:positionV relativeFrom="page">
            <wp:posOffset>47625</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604_ACC_2016_LETTERHEAD_SECOND_SHEE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D0EF9">
      <w:rPr>
        <w:noProof/>
      </w:rPr>
      <w:drawing>
        <wp:anchor distT="0" distB="0" distL="114300" distR="114300" simplePos="0" relativeHeight="251662336" behindDoc="1" locked="0" layoutInCell="1" allowOverlap="1" wp14:anchorId="28FC26A0" wp14:editId="6C628EA1">
          <wp:simplePos x="0" y="0"/>
          <wp:positionH relativeFrom="page">
            <wp:posOffset>9525</wp:posOffset>
          </wp:positionH>
          <wp:positionV relativeFrom="page">
            <wp:posOffset>-228600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604_ACC_2016_LETTERHEAD_All_V6_GEN.pdf"/>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6C"/>
    <w:rsid w:val="000778C3"/>
    <w:rsid w:val="000A6C58"/>
    <w:rsid w:val="000F236C"/>
    <w:rsid w:val="001647FC"/>
    <w:rsid w:val="0023173B"/>
    <w:rsid w:val="002463D0"/>
    <w:rsid w:val="002B0BC8"/>
    <w:rsid w:val="005024B3"/>
    <w:rsid w:val="005D0EF9"/>
    <w:rsid w:val="005F08EA"/>
    <w:rsid w:val="006B396C"/>
    <w:rsid w:val="006E41F2"/>
    <w:rsid w:val="006E7D8E"/>
    <w:rsid w:val="007F600B"/>
    <w:rsid w:val="00A47A69"/>
    <w:rsid w:val="00BD530C"/>
    <w:rsid w:val="00BF7424"/>
    <w:rsid w:val="00C36297"/>
    <w:rsid w:val="00C91A0F"/>
    <w:rsid w:val="00C94AA1"/>
    <w:rsid w:val="00C96267"/>
    <w:rsid w:val="00CF7157"/>
    <w:rsid w:val="00D84A7E"/>
    <w:rsid w:val="00D97D1D"/>
    <w:rsid w:val="00DC0FFE"/>
    <w:rsid w:val="00E43992"/>
    <w:rsid w:val="00EC6491"/>
    <w:rsid w:val="00F4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A7E"/>
    <w:pPr>
      <w:tabs>
        <w:tab w:val="center" w:pos="4320"/>
        <w:tab w:val="right" w:pos="8640"/>
      </w:tabs>
    </w:pPr>
  </w:style>
  <w:style w:type="character" w:customStyle="1" w:styleId="HeaderChar">
    <w:name w:val="Header Char"/>
    <w:basedOn w:val="DefaultParagraphFont"/>
    <w:link w:val="Header"/>
    <w:uiPriority w:val="99"/>
    <w:rsid w:val="00D84A7E"/>
  </w:style>
  <w:style w:type="paragraph" w:styleId="Footer">
    <w:name w:val="footer"/>
    <w:basedOn w:val="Normal"/>
    <w:link w:val="FooterChar"/>
    <w:uiPriority w:val="99"/>
    <w:unhideWhenUsed/>
    <w:rsid w:val="00D84A7E"/>
    <w:pPr>
      <w:tabs>
        <w:tab w:val="center" w:pos="4320"/>
        <w:tab w:val="right" w:pos="8640"/>
      </w:tabs>
    </w:pPr>
  </w:style>
  <w:style w:type="character" w:customStyle="1" w:styleId="FooterChar">
    <w:name w:val="Footer Char"/>
    <w:basedOn w:val="DefaultParagraphFont"/>
    <w:link w:val="Footer"/>
    <w:uiPriority w:val="99"/>
    <w:rsid w:val="00D84A7E"/>
  </w:style>
  <w:style w:type="paragraph" w:styleId="BalloonText">
    <w:name w:val="Balloon Text"/>
    <w:basedOn w:val="Normal"/>
    <w:link w:val="BalloonTextChar"/>
    <w:uiPriority w:val="99"/>
    <w:semiHidden/>
    <w:unhideWhenUsed/>
    <w:rsid w:val="00D84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A7E"/>
    <w:rPr>
      <w:rFonts w:ascii="Lucida Grande" w:hAnsi="Lucida Grande" w:cs="Lucida Grande"/>
      <w:sz w:val="18"/>
      <w:szCs w:val="18"/>
    </w:rPr>
  </w:style>
  <w:style w:type="paragraph" w:styleId="TOC1">
    <w:name w:val="toc 1"/>
    <w:basedOn w:val="Normal"/>
    <w:next w:val="Normal"/>
    <w:autoRedefine/>
    <w:uiPriority w:val="39"/>
    <w:unhideWhenUsed/>
    <w:rsid w:val="00D84A7E"/>
  </w:style>
  <w:style w:type="paragraph" w:styleId="TOC2">
    <w:name w:val="toc 2"/>
    <w:basedOn w:val="Normal"/>
    <w:next w:val="Normal"/>
    <w:autoRedefine/>
    <w:uiPriority w:val="39"/>
    <w:unhideWhenUsed/>
    <w:rsid w:val="00D84A7E"/>
    <w:pPr>
      <w:ind w:left="240"/>
    </w:pPr>
  </w:style>
  <w:style w:type="paragraph" w:styleId="TOC3">
    <w:name w:val="toc 3"/>
    <w:basedOn w:val="Normal"/>
    <w:next w:val="Normal"/>
    <w:autoRedefine/>
    <w:uiPriority w:val="39"/>
    <w:unhideWhenUsed/>
    <w:rsid w:val="00D84A7E"/>
    <w:pPr>
      <w:ind w:left="480"/>
    </w:pPr>
  </w:style>
  <w:style w:type="paragraph" w:styleId="TOC4">
    <w:name w:val="toc 4"/>
    <w:basedOn w:val="Normal"/>
    <w:next w:val="Normal"/>
    <w:autoRedefine/>
    <w:uiPriority w:val="39"/>
    <w:unhideWhenUsed/>
    <w:rsid w:val="00D84A7E"/>
    <w:pPr>
      <w:ind w:left="720"/>
    </w:pPr>
  </w:style>
  <w:style w:type="paragraph" w:styleId="TOC5">
    <w:name w:val="toc 5"/>
    <w:basedOn w:val="Normal"/>
    <w:next w:val="Normal"/>
    <w:autoRedefine/>
    <w:uiPriority w:val="39"/>
    <w:unhideWhenUsed/>
    <w:rsid w:val="00D84A7E"/>
    <w:pPr>
      <w:ind w:left="960"/>
    </w:pPr>
  </w:style>
  <w:style w:type="paragraph" w:styleId="TOC6">
    <w:name w:val="toc 6"/>
    <w:basedOn w:val="Normal"/>
    <w:next w:val="Normal"/>
    <w:autoRedefine/>
    <w:uiPriority w:val="39"/>
    <w:unhideWhenUsed/>
    <w:rsid w:val="00D84A7E"/>
    <w:pPr>
      <w:ind w:left="1200"/>
    </w:pPr>
  </w:style>
  <w:style w:type="paragraph" w:styleId="TOC7">
    <w:name w:val="toc 7"/>
    <w:basedOn w:val="Normal"/>
    <w:next w:val="Normal"/>
    <w:autoRedefine/>
    <w:uiPriority w:val="39"/>
    <w:unhideWhenUsed/>
    <w:rsid w:val="00D84A7E"/>
    <w:pPr>
      <w:ind w:left="1440"/>
    </w:pPr>
  </w:style>
  <w:style w:type="paragraph" w:styleId="TOC8">
    <w:name w:val="toc 8"/>
    <w:basedOn w:val="Normal"/>
    <w:next w:val="Normal"/>
    <w:autoRedefine/>
    <w:uiPriority w:val="39"/>
    <w:unhideWhenUsed/>
    <w:rsid w:val="00D84A7E"/>
    <w:pPr>
      <w:ind w:left="1680"/>
    </w:pPr>
  </w:style>
  <w:style w:type="paragraph" w:styleId="TOC9">
    <w:name w:val="toc 9"/>
    <w:basedOn w:val="Normal"/>
    <w:next w:val="Normal"/>
    <w:autoRedefine/>
    <w:uiPriority w:val="39"/>
    <w:unhideWhenUsed/>
    <w:rsid w:val="00D84A7E"/>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A7E"/>
    <w:pPr>
      <w:tabs>
        <w:tab w:val="center" w:pos="4320"/>
        <w:tab w:val="right" w:pos="8640"/>
      </w:tabs>
    </w:pPr>
  </w:style>
  <w:style w:type="character" w:customStyle="1" w:styleId="HeaderChar">
    <w:name w:val="Header Char"/>
    <w:basedOn w:val="DefaultParagraphFont"/>
    <w:link w:val="Header"/>
    <w:uiPriority w:val="99"/>
    <w:rsid w:val="00D84A7E"/>
  </w:style>
  <w:style w:type="paragraph" w:styleId="Footer">
    <w:name w:val="footer"/>
    <w:basedOn w:val="Normal"/>
    <w:link w:val="FooterChar"/>
    <w:uiPriority w:val="99"/>
    <w:unhideWhenUsed/>
    <w:rsid w:val="00D84A7E"/>
    <w:pPr>
      <w:tabs>
        <w:tab w:val="center" w:pos="4320"/>
        <w:tab w:val="right" w:pos="8640"/>
      </w:tabs>
    </w:pPr>
  </w:style>
  <w:style w:type="character" w:customStyle="1" w:styleId="FooterChar">
    <w:name w:val="Footer Char"/>
    <w:basedOn w:val="DefaultParagraphFont"/>
    <w:link w:val="Footer"/>
    <w:uiPriority w:val="99"/>
    <w:rsid w:val="00D84A7E"/>
  </w:style>
  <w:style w:type="paragraph" w:styleId="BalloonText">
    <w:name w:val="Balloon Text"/>
    <w:basedOn w:val="Normal"/>
    <w:link w:val="BalloonTextChar"/>
    <w:uiPriority w:val="99"/>
    <w:semiHidden/>
    <w:unhideWhenUsed/>
    <w:rsid w:val="00D84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A7E"/>
    <w:rPr>
      <w:rFonts w:ascii="Lucida Grande" w:hAnsi="Lucida Grande" w:cs="Lucida Grande"/>
      <w:sz w:val="18"/>
      <w:szCs w:val="18"/>
    </w:rPr>
  </w:style>
  <w:style w:type="paragraph" w:styleId="TOC1">
    <w:name w:val="toc 1"/>
    <w:basedOn w:val="Normal"/>
    <w:next w:val="Normal"/>
    <w:autoRedefine/>
    <w:uiPriority w:val="39"/>
    <w:unhideWhenUsed/>
    <w:rsid w:val="00D84A7E"/>
  </w:style>
  <w:style w:type="paragraph" w:styleId="TOC2">
    <w:name w:val="toc 2"/>
    <w:basedOn w:val="Normal"/>
    <w:next w:val="Normal"/>
    <w:autoRedefine/>
    <w:uiPriority w:val="39"/>
    <w:unhideWhenUsed/>
    <w:rsid w:val="00D84A7E"/>
    <w:pPr>
      <w:ind w:left="240"/>
    </w:pPr>
  </w:style>
  <w:style w:type="paragraph" w:styleId="TOC3">
    <w:name w:val="toc 3"/>
    <w:basedOn w:val="Normal"/>
    <w:next w:val="Normal"/>
    <w:autoRedefine/>
    <w:uiPriority w:val="39"/>
    <w:unhideWhenUsed/>
    <w:rsid w:val="00D84A7E"/>
    <w:pPr>
      <w:ind w:left="480"/>
    </w:pPr>
  </w:style>
  <w:style w:type="paragraph" w:styleId="TOC4">
    <w:name w:val="toc 4"/>
    <w:basedOn w:val="Normal"/>
    <w:next w:val="Normal"/>
    <w:autoRedefine/>
    <w:uiPriority w:val="39"/>
    <w:unhideWhenUsed/>
    <w:rsid w:val="00D84A7E"/>
    <w:pPr>
      <w:ind w:left="720"/>
    </w:pPr>
  </w:style>
  <w:style w:type="paragraph" w:styleId="TOC5">
    <w:name w:val="toc 5"/>
    <w:basedOn w:val="Normal"/>
    <w:next w:val="Normal"/>
    <w:autoRedefine/>
    <w:uiPriority w:val="39"/>
    <w:unhideWhenUsed/>
    <w:rsid w:val="00D84A7E"/>
    <w:pPr>
      <w:ind w:left="960"/>
    </w:pPr>
  </w:style>
  <w:style w:type="paragraph" w:styleId="TOC6">
    <w:name w:val="toc 6"/>
    <w:basedOn w:val="Normal"/>
    <w:next w:val="Normal"/>
    <w:autoRedefine/>
    <w:uiPriority w:val="39"/>
    <w:unhideWhenUsed/>
    <w:rsid w:val="00D84A7E"/>
    <w:pPr>
      <w:ind w:left="1200"/>
    </w:pPr>
  </w:style>
  <w:style w:type="paragraph" w:styleId="TOC7">
    <w:name w:val="toc 7"/>
    <w:basedOn w:val="Normal"/>
    <w:next w:val="Normal"/>
    <w:autoRedefine/>
    <w:uiPriority w:val="39"/>
    <w:unhideWhenUsed/>
    <w:rsid w:val="00D84A7E"/>
    <w:pPr>
      <w:ind w:left="1440"/>
    </w:pPr>
  </w:style>
  <w:style w:type="paragraph" w:styleId="TOC8">
    <w:name w:val="toc 8"/>
    <w:basedOn w:val="Normal"/>
    <w:next w:val="Normal"/>
    <w:autoRedefine/>
    <w:uiPriority w:val="39"/>
    <w:unhideWhenUsed/>
    <w:rsid w:val="00D84A7E"/>
    <w:pPr>
      <w:ind w:left="1680"/>
    </w:pPr>
  </w:style>
  <w:style w:type="paragraph" w:styleId="TOC9">
    <w:name w:val="toc 9"/>
    <w:basedOn w:val="Normal"/>
    <w:next w:val="Normal"/>
    <w:autoRedefine/>
    <w:uiPriority w:val="39"/>
    <w:unhideWhenUsed/>
    <w:rsid w:val="00D84A7E"/>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8.jpg@01D0F45A.CB64F6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7.jpg@01D0F45A.CB64F6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gsdon\Desktop\M1604_ACC_Letterhead_2016-17_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8988-B2F3-4219-8CBF-E096935A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M1604_ACC_Letterhead_2016-17_General</Template>
  <TotalTime>8</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Logsdon</dc:creator>
  <cp:lastModifiedBy>Lea Binder</cp:lastModifiedBy>
  <cp:revision>4</cp:revision>
  <dcterms:created xsi:type="dcterms:W3CDTF">2016-09-30T18:51:00Z</dcterms:created>
  <dcterms:modified xsi:type="dcterms:W3CDTF">2016-10-04T19:53:00Z</dcterms:modified>
</cp:coreProperties>
</file>